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№1</w:t>
      </w:r>
      <w:bookmarkStart w:id="0" w:name="_GoBack"/>
      <w:bookmarkEnd w:id="0"/>
      <w:r>
        <w:rPr>
          <w:sz w:val="20"/>
          <w:szCs w:val="20"/>
        </w:rPr>
        <w:t xml:space="preserve"> к приказу от _____, №___</w:t>
      </w:r>
    </w:p>
    <w:p>
      <w:pPr>
        <w:pStyle w:val="Normal"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onsPlusNormal"/>
        <w:jc w:val="center"/>
        <w:rPr>
          <w:b/>
          <w:b/>
        </w:rPr>
      </w:pPr>
      <w:r>
        <w:rPr>
          <w:b/>
        </w:rPr>
        <w:t xml:space="preserve">Антикоррупционные стандарты </w:t>
      </w:r>
    </w:p>
    <w:p>
      <w:pPr>
        <w:pStyle w:val="ConsPlusNormal"/>
        <w:jc w:val="center"/>
        <w:rPr>
          <w:b/>
          <w:b/>
          <w:szCs w:val="28"/>
        </w:rPr>
      </w:pPr>
      <w:r>
        <w:rPr>
          <w:b/>
          <w:szCs w:val="28"/>
        </w:rPr>
        <w:t xml:space="preserve">муниципальное бюджетное  </w:t>
      </w:r>
      <w:r>
        <w:rPr>
          <w:b/>
          <w:szCs w:val="28"/>
        </w:rPr>
        <w:t>образовательное учреждение дополнительного образования  « Дом детского творчества Мясниковского района»</w:t>
      </w:r>
    </w:p>
    <w:p>
      <w:pPr>
        <w:pStyle w:val="ConsPlusNormal"/>
        <w:jc w:val="center"/>
        <w:rPr>
          <w:b/>
          <w:b/>
        </w:rPr>
      </w:pPr>
      <w:r>
        <w:rPr>
          <w:b/>
        </w:rPr>
      </w:r>
    </w:p>
    <w:p>
      <w:pPr>
        <w:pStyle w:val="ConsPlusTitle"/>
        <w:numPr>
          <w:ilvl w:val="0"/>
          <w:numId w:val="0"/>
        </w:numPr>
        <w:jc w:val="center"/>
        <w:outlineLvl w:val="1"/>
        <w:rPr>
          <w:color w:val="auto"/>
        </w:rPr>
      </w:pPr>
      <w:r>
        <w:rPr>
          <w:color w:val="auto"/>
          <w:sz w:val="24"/>
          <w:szCs w:val="24"/>
        </w:rPr>
        <w:t>1. Общие положения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 xml:space="preserve">1.1.Антикоррупционные стандарты </w:t>
      </w:r>
      <w:r>
        <w:rPr>
          <w:color w:val="auto"/>
          <w:sz w:val="24"/>
          <w:szCs w:val="24"/>
        </w:rPr>
        <w:t>муниципальное бюджетное образовательное учреждение дополнительного образования « Дом детского творчества Мясниковского района»</w:t>
      </w:r>
      <w:r>
        <w:rPr>
          <w:b/>
          <w:color w:val="auto"/>
          <w:sz w:val="24"/>
          <w:szCs w:val="24"/>
        </w:rPr>
        <w:t xml:space="preserve">" </w:t>
      </w:r>
      <w:r>
        <w:rPr>
          <w:color w:val="auto"/>
          <w:sz w:val="24"/>
          <w:szCs w:val="24"/>
        </w:rPr>
        <w:t xml:space="preserve"> (далее – Антикоррупционные стандарты), представляют собой базовые положения, определяющие основные задачи, принципы и мероприятия, направленные на предупреждение коррупции, в целях обеспечения добросовестной работы </w:t>
      </w:r>
      <w:r>
        <w:rPr>
          <w:color w:val="auto"/>
          <w:sz w:val="24"/>
          <w:szCs w:val="24"/>
        </w:rPr>
        <w:t>муниципальное бюджетное образовательное учреждение дополнительного образования « Дом детского творчества Мясниковского района»</w:t>
      </w:r>
      <w:r>
        <w:rPr>
          <w:b/>
          <w:color w:val="auto"/>
          <w:sz w:val="24"/>
          <w:szCs w:val="24"/>
        </w:rPr>
        <w:t xml:space="preserve">" </w:t>
      </w:r>
      <w:r>
        <w:rPr>
          <w:color w:val="auto"/>
          <w:sz w:val="24"/>
          <w:szCs w:val="24"/>
        </w:rPr>
        <w:t>(далее – Организация).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1.2.Задачами внедрения Антикоррупционных стандартов являются: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-повышение открытости и прозрачности деятельности Организации;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-создание эффективного механизма профилактики коррупционных проявлений, минимизации рисков вовлечения Организации и ее работников в коррупционную деятельность;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-формирование у работников Организации негативного отношения к коррупционным проявлениям, а также навыков антикоррупционного поведения;</w:t>
      </w:r>
    </w:p>
    <w:p>
      <w:pPr>
        <w:pStyle w:val="ConsPlusNormal"/>
        <w:ind w:firstLine="567"/>
        <w:jc w:val="both"/>
        <w:rPr>
          <w:color w:val="C9211E"/>
        </w:rPr>
      </w:pPr>
      <w:r>
        <w:rPr>
          <w:color w:val="auto"/>
          <w:sz w:val="24"/>
          <w:szCs w:val="24"/>
        </w:rPr>
        <w:t>-минимизация имущественного и репутационного ущерба Организации путем предотвращения коррупционны</w:t>
      </w:r>
      <w:r>
        <w:rPr>
          <w:color w:val="C9211E"/>
          <w:sz w:val="24"/>
          <w:szCs w:val="24"/>
        </w:rPr>
        <w:t xml:space="preserve">х </w:t>
      </w:r>
      <w:r>
        <w:rPr>
          <w:color w:val="auto"/>
          <w:sz w:val="24"/>
          <w:szCs w:val="24"/>
        </w:rPr>
        <w:t>действий.</w:t>
      </w:r>
    </w:p>
    <w:p>
      <w:pPr>
        <w:pStyle w:val="ConsPlusTitle"/>
        <w:numPr>
          <w:ilvl w:val="0"/>
          <w:numId w:val="0"/>
        </w:numPr>
        <w:ind w:firstLine="567"/>
        <w:jc w:val="center"/>
        <w:outlineLvl w:val="1"/>
        <w:rPr>
          <w:color w:val="auto"/>
        </w:rPr>
      </w:pPr>
      <w:r>
        <w:rPr>
          <w:color w:val="auto"/>
          <w:sz w:val="24"/>
          <w:szCs w:val="24"/>
        </w:rPr>
        <w:t>2. Должностные лица Организации,</w:t>
      </w:r>
    </w:p>
    <w:p>
      <w:pPr>
        <w:pStyle w:val="ConsPlusTitle"/>
        <w:numPr>
          <w:ilvl w:val="0"/>
          <w:numId w:val="0"/>
        </w:numPr>
        <w:ind w:firstLine="567"/>
        <w:jc w:val="center"/>
        <w:outlineLvl w:val="1"/>
        <w:rPr>
          <w:color w:val="auto"/>
        </w:rPr>
      </w:pPr>
      <w:r>
        <w:rPr>
          <w:color w:val="auto"/>
          <w:sz w:val="24"/>
          <w:szCs w:val="24"/>
        </w:rPr>
        <w:t>ответственные за внедрение Антикоррупционных стандартов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2.1.Реализацию мер, направленных на внедрение Антикоррупционных стандартов, в Организации осуществляют руководитель, заместитель руководителя, работник, ответственный за профилактику коррупционных нарушений в Организации.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2.2.О фактах воспрепятствования деятельности по внедрению Антикоррупционных стандартов либо нарушения их положений незамедлительно информируется руководителю Организации.</w:t>
      </w:r>
    </w:p>
    <w:p>
      <w:pPr>
        <w:pStyle w:val="Normal"/>
        <w:ind w:firstLine="567"/>
        <w:jc w:val="center"/>
        <w:rPr>
          <w:color w:val="auto"/>
        </w:rPr>
      </w:pPr>
      <w:r>
        <w:rPr>
          <w:b/>
          <w:color w:val="auto"/>
          <w:sz w:val="24"/>
          <w:szCs w:val="24"/>
        </w:rPr>
        <w:t>3. Антикоррупционных стандартов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3.1.Антикоррупционные стандарты основываются на следующих принципах: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-законность;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-открытость и прозрачность деятельности;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-добросовестная конкуренция;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-приоритетное применение мер по предупреждению коррупции;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-сотрудничество с институтами гражданского общества;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-постоянный контроль и мониторинг.</w:t>
      </w:r>
    </w:p>
    <w:p>
      <w:pPr>
        <w:pStyle w:val="ConsPlusTitle"/>
        <w:numPr>
          <w:ilvl w:val="0"/>
          <w:numId w:val="0"/>
        </w:numPr>
        <w:ind w:firstLine="567"/>
        <w:jc w:val="center"/>
        <w:outlineLvl w:val="1"/>
        <w:rPr>
          <w:color w:val="auto"/>
        </w:rPr>
      </w:pPr>
      <w:r>
        <w:rPr>
          <w:color w:val="auto"/>
          <w:sz w:val="24"/>
          <w:szCs w:val="24"/>
        </w:rPr>
        <w:t>4.Мероприятия, направленные на предупреждение коррупции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4.1.Реализация мероприятий по предупреждению коррупции в Учреждении осуществляется в соответствии с планом противодействия коррупции.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4.2.Мероприятиями, направленными на предупреждение коррупции, являются: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-, выявление и урегулирование конфликта интересов, стороной которого являются работники Организации, согласно Положению о конфликте интересов в Организации.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-оценка коррупционных рисков Организации.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Организации не реже 1 раза в год осуществляет оценку коррупционных рисков в соответствии с методическими рекомендациями по проведению оценки коррупционных рисков, возникающих при реализации функций, разработанными Министерством труда и социальной защиты Российской Федерации, с учетом специфики деятельности Организации.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4.3.Предупреждение коррупции при взаимодействии с контрагентами:</w:t>
      </w:r>
    </w:p>
    <w:p>
      <w:pPr>
        <w:pStyle w:val="ConsPlusNormal"/>
        <w:ind w:firstLine="567"/>
        <w:jc w:val="both"/>
        <w:rPr>
          <w:color w:val="C9211E"/>
        </w:rPr>
      </w:pPr>
      <w:r>
        <w:rPr>
          <w:color w:val="auto"/>
          <w:sz w:val="24"/>
          <w:szCs w:val="24"/>
        </w:rPr>
        <w:t>4.3.1. деловых (хозяйственных) отношений с контрагентами, которые осуществляют свою деятельность на принципах законности, добросовестной конкуренции, заботятся о собственной</w:t>
      </w:r>
      <w:r>
        <w:rPr>
          <w:color w:val="C9211E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репутации, реализуют собственные меры по предупреждению коррупции, участвуют в коллективных антикоррупционных инициативах.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4.3.2.Предварительная оценка деловой репутации контрагентов Организации в целях снижения риска ее вовлечения в коррупционную деятельность.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4.3.3. В целях проявления должной осмотрительности при выборе контрагента ответственный работник при заключении муниципальных контрактов свыше 600 тыс. руб. обязан: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 Составить и направить в адрес контрагента письмо-запрос о предоставлении документов для заключения договора(ов) в целях проявления должной осмотрительности при выборе контрагента.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 Получить через общедоступные интернет-ресурсы выписки из ЕГРЮЛ или ЕГРИП о контрагенте, а также проверить на соответствие код по ОКВЭД, указанный в выписке, тому виду деятельности, который контрагент обязуется осуществлять по условиям договора.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 Установить, какой вид системы налогообложения применяется контрагентом.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 Проверить соответствие представленных контрагентом сведений сведениям, содержащимся на сайте ФНС России.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 Не числится ли контрагент в следующих базах данных: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 сообщения юридических лиц о ликвидации и реорганизации;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 сведения о предстоящем исключении недействующих юридических лиц из ЕГРЮЛ по решению налоговых органов;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 адреса, по которым зарегистрировано несколько юридических лиц;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 xml:space="preserve">- перечень юридических лиц, в состав исполнительных органов которых входят дисквалифицированные лица. 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 Не находится ли контрагент в стадии ликвидации, реорганизации, банкротства.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4.4. Имеются ли у контрагента признаки фирмы-однодневки: массовый руководитель (участник); адрес массовой регистрации; невозможность связаться с контрагентом по указанному адресу.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4.4.1. Отсутствует или имеется у контрагента задолженность перед бюджетом.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4.4.2. Размещена или отсутствует бухгалтерская отчетность контрагента на сайте Росстата.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4.4.3. Участвует или нет контрагент в спорах.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4.4.4. Наличие или отсутствие сведений о возбужденных исполнительных производствах в отношении контрагента.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4.4.5. Не принималось ли регистрирующим органом в отношении контрагента решение об его исключении из ЕГРЮЛ.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4.4.6. Требуются ли контрагенту для осуществления своей деятельности лицензии или свидетельства.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4.4.7. Платежеспособность контрагента и провести оценку рисков неисполнения обязательств.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4.4.8. Наличие у контрагента финансовых средств и иных условий для заключения договора(ов).</w:t>
      </w:r>
    </w:p>
    <w:p>
      <w:pPr>
        <w:pStyle w:val="ConsPlusNormal"/>
        <w:ind w:firstLine="567"/>
        <w:jc w:val="both"/>
        <w:rPr>
          <w:color w:val="C9211E"/>
        </w:rPr>
      </w:pPr>
      <w:r>
        <w:rPr>
          <w:color w:val="C9211E"/>
          <w:sz w:val="24"/>
          <w:szCs w:val="24"/>
        </w:rPr>
        <w:t>4.5. После завершения проверки ответственный сотрудник обязан составить отчет о проверке контрагента и передать его руководителю Организации.</w:t>
      </w:r>
    </w:p>
    <w:p>
      <w:pPr>
        <w:pStyle w:val="ConsPlusNormal"/>
        <w:ind w:firstLine="567"/>
        <w:jc w:val="both"/>
        <w:rPr>
          <w:color w:val="C9211E"/>
        </w:rPr>
      </w:pPr>
      <w:r>
        <w:rPr>
          <w:color w:val="C9211E"/>
          <w:sz w:val="24"/>
          <w:szCs w:val="24"/>
        </w:rPr>
        <w:t>4.6. Вся полученная в ходе проверки контрагента информация должна храниться как в электронном, так и в письменном виде.</w:t>
      </w:r>
    </w:p>
    <w:p>
      <w:pPr>
        <w:pStyle w:val="ConsPlusNormal"/>
        <w:ind w:firstLine="567"/>
        <w:jc w:val="both"/>
        <w:rPr>
          <w:color w:val="C9211E"/>
        </w:rPr>
      </w:pPr>
      <w:r>
        <w:rPr>
          <w:color w:val="C9211E"/>
          <w:sz w:val="24"/>
          <w:szCs w:val="24"/>
        </w:rPr>
        <w:t>4.7.Антикоррупционное просвещение работников.</w:t>
      </w:r>
    </w:p>
    <w:p>
      <w:pPr>
        <w:pStyle w:val="ConsPlusNormal"/>
        <w:ind w:firstLine="567"/>
        <w:jc w:val="both"/>
        <w:rPr>
          <w:color w:val="C9211E"/>
        </w:rPr>
      </w:pPr>
      <w:r>
        <w:rPr>
          <w:color w:val="C9211E"/>
          <w:sz w:val="24"/>
          <w:szCs w:val="24"/>
        </w:rPr>
        <w:t>Учреждение на постоянной основе обеспечивает информирование работников о требованиях законодательства о противодействии коррупции, а также обучение работников, ответственных за профилактику коррупционных и иных правонарушений, по образовательным программам в сфере противодействия коррупции.</w:t>
      </w:r>
    </w:p>
    <w:p>
      <w:pPr>
        <w:pStyle w:val="ConsPlusNormal"/>
        <w:ind w:firstLine="567"/>
        <w:jc w:val="both"/>
        <w:rPr>
          <w:color w:val="C9211E"/>
        </w:rPr>
      </w:pPr>
      <w:r>
        <w:rPr>
          <w:color w:val="C9211E"/>
          <w:sz w:val="24"/>
          <w:szCs w:val="24"/>
        </w:rPr>
        <w:t>4.8.Внутренний контроль и аудит.</w:t>
      </w:r>
    </w:p>
    <w:p>
      <w:pPr>
        <w:pStyle w:val="ConsPlusNormal"/>
        <w:ind w:firstLine="567"/>
        <w:jc w:val="both"/>
        <w:rPr>
          <w:color w:val="C9211E"/>
        </w:rPr>
      </w:pPr>
      <w:r>
        <w:rPr>
          <w:color w:val="C9211E"/>
          <w:sz w:val="24"/>
          <w:szCs w:val="24"/>
        </w:rPr>
        <w:t>Осуществление на постоянной основе внутреннего контроля и аудита хозяйственных операций Учреждения в соответствии с законодательством Российской Федерации.</w:t>
      </w:r>
    </w:p>
    <w:p>
      <w:pPr>
        <w:pStyle w:val="ConsPlusNormal"/>
        <w:ind w:firstLine="567"/>
        <w:jc w:val="both"/>
        <w:rPr>
          <w:color w:val="C9211E"/>
        </w:rPr>
      </w:pPr>
      <w:r>
        <w:rPr>
          <w:color w:val="C9211E"/>
          <w:sz w:val="24"/>
          <w:szCs w:val="24"/>
        </w:rPr>
        <w:t xml:space="preserve">4.9.Взаимодействие с контрольно - надзорными и правоохранительными органами в сфере </w:t>
      </w:r>
      <w:r>
        <w:rPr>
          <w:color w:val="auto"/>
          <w:sz w:val="24"/>
          <w:szCs w:val="24"/>
        </w:rPr>
        <w:t>противодействия коррупции: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-Обо всех случаях совершения коррупционных правонарушений Организации сообщает в правоохранительные органы и информирует орган местного самоуправления Мясниковского района, осуществляющий функции и полномочия учредителя Организации;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-Организация воздерживается от применения санкций в отношении работников, сообщивших в контрольно-надзорные и правоохранительные органы о ставшей им известной в ходе выполнения трудовых функций информации о подготовке к совершению, совершении или совершенном коррупционном правонарушении или преступлении;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-Руководитель Организации и работники оказывают содействие правоохранительным органам в выявлении и расследовании фактов совершения коррупционных правонарушений, а также предпринимают необходимые меры по сохранению и передаче в правоохранительные органы документов и информации, содержащихся в них данных.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4.10.В должностные инструкции лиц, ответственных за профилактику коррупционных и иных правонарушений в Организации, рекомендуется включить трудовые функции согласно примерному перечню трудовых функций, включаемых в должностную инструкцию лица, ответственного за профилактику коррупционных и иных правонарушений в Организации.</w:t>
      </w:r>
    </w:p>
    <w:p>
      <w:pPr>
        <w:pStyle w:val="ConsPlusTitle"/>
        <w:numPr>
          <w:ilvl w:val="0"/>
          <w:numId w:val="0"/>
        </w:numPr>
        <w:ind w:firstLine="567"/>
        <w:jc w:val="center"/>
        <w:outlineLvl w:val="1"/>
        <w:rPr>
          <w:color w:val="auto"/>
        </w:rPr>
      </w:pPr>
      <w:r>
        <w:rPr>
          <w:color w:val="auto"/>
          <w:sz w:val="24"/>
          <w:szCs w:val="24"/>
        </w:rPr>
        <w:t>5Антикоррупционные стандарты поведения работников Организации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5.1.Руководитель и работники Организации должны неукоснительно соблюдать требования законодательства Российской Федерации о противодействии коррупции, а также локальные нормативные акты Организации, в том числе настоящие Антикоррупционные стандарты.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5.2.Работники Организации: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-исполняют трудовые функции добросовестно и на высоком профессиональном уровне;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-исходят из того, что признание, соблюдение и защита прав и свобод человека и гражданина определяют основной смысл и содержание деятельности Организации;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-исключают действия, связанные с влиянием каких-либо личных, имущественных (финансовых) и иных интересов, препятствующих добросовестному исполнению трудовых функций;</w:t>
      </w:r>
    </w:p>
    <w:p>
      <w:pPr>
        <w:pStyle w:val="ConsPlusNormal"/>
        <w:ind w:firstLine="567"/>
        <w:jc w:val="both"/>
        <w:rPr>
          <w:color w:val="C9211E"/>
        </w:rPr>
      </w:pPr>
      <w:r>
        <w:rPr>
          <w:color w:val="auto"/>
          <w:sz w:val="24"/>
          <w:szCs w:val="24"/>
        </w:rPr>
        <w:t>-соблюдают правила делового поведения и общения;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-не используют должностное положение в личных целях.</w:t>
      </w:r>
    </w:p>
    <w:p>
      <w:pPr>
        <w:pStyle w:val="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 xml:space="preserve">5.3.Учреждением утверждено Положение «О предотвращении и урегулировании конфликта интересов в Организации и </w:t>
      </w:r>
      <w:r>
        <w:rPr>
          <w:rFonts w:cs="Times New Roman"/>
          <w:color w:val="auto"/>
          <w:sz w:val="24"/>
          <w:szCs w:val="24"/>
        </w:rPr>
        <w:t xml:space="preserve">Кодекс этики и правил служебного поведения работников муниципального учреждения </w:t>
      </w:r>
      <w:r>
        <w:rPr>
          <w:color w:val="auto"/>
          <w:sz w:val="24"/>
          <w:szCs w:val="24"/>
        </w:rPr>
        <w:t>Организации</w:t>
      </w:r>
      <w:r>
        <w:rPr>
          <w:rFonts w:cs="Times New Roman"/>
          <w:color w:val="auto"/>
          <w:sz w:val="24"/>
          <w:szCs w:val="24"/>
        </w:rPr>
        <w:t>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5.4.Работники Организации, включенные в перечень, принимают меры по предотвращению и урегулированию конфликта интересов.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5.5.Работники Организации уведомляют руководителя Организации обо всех случаях обращения каких-либо лиц в целях склонения их к совершению коррупционных правонарушений (приложение 1 к Антикоррупционным стандартам).</w:t>
      </w:r>
    </w:p>
    <w:p>
      <w:pPr>
        <w:pStyle w:val="ConsPlusNormal"/>
        <w:ind w:firstLine="567"/>
        <w:jc w:val="both"/>
        <w:rPr>
          <w:color w:val="auto"/>
        </w:rPr>
      </w:pPr>
      <w:r>
        <w:rPr>
          <w:color w:val="auto"/>
          <w:sz w:val="24"/>
          <w:szCs w:val="24"/>
        </w:rPr>
        <w:t>5.6.За нарушение требований законодательства Российской Федерации и локальных нормативных актов Организации руководитель и работники Организации несут предусмотренную законодательством Российской Федерации ответственность.</w:t>
      </w:r>
    </w:p>
    <w:p>
      <w:pPr>
        <w:pStyle w:val="Normal"/>
        <w:ind w:firstLine="567"/>
        <w:rPr>
          <w:rFonts w:eastAsia="Times New Roman" w:cs="Times New Roman"/>
          <w:color w:val="auto"/>
          <w:szCs w:val="20"/>
          <w:lang w:eastAsia="ru-RU"/>
        </w:rPr>
      </w:pPr>
      <w:r>
        <w:rPr>
          <w:rFonts w:eastAsia="Times New Roman" w:cs="Times New Roman"/>
          <w:color w:val="auto"/>
          <w:szCs w:val="20"/>
          <w:lang w:eastAsia="ru-RU"/>
        </w:rPr>
      </w:r>
      <w:r>
        <w:br w:type="page"/>
      </w:r>
    </w:p>
    <w:p>
      <w:pPr>
        <w:pStyle w:val="ConsPlusNormal"/>
        <w:numPr>
          <w:ilvl w:val="0"/>
          <w:numId w:val="0"/>
        </w:numPr>
        <w:jc w:val="right"/>
        <w:outlineLvl w:val="1"/>
        <w:rPr>
          <w:sz w:val="24"/>
          <w:szCs w:val="24"/>
        </w:rPr>
      </w:pPr>
      <w:r>
        <w:rPr>
          <w:sz w:val="24"/>
          <w:szCs w:val="24"/>
        </w:rPr>
        <w:t>Приложение 1</w:t>
      </w:r>
    </w:p>
    <w:p>
      <w:pPr>
        <w:pStyle w:val="ConsPlusNormal"/>
        <w:jc w:val="right"/>
        <w:rPr>
          <w:sz w:val="24"/>
          <w:szCs w:val="24"/>
        </w:rPr>
      </w:pPr>
      <w:r>
        <w:rPr>
          <w:sz w:val="24"/>
          <w:szCs w:val="24"/>
        </w:rPr>
        <w:t>к Антикоррупционным стандартам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right"/>
        <w:rPr>
          <w:sz w:val="24"/>
          <w:szCs w:val="24"/>
        </w:rPr>
      </w:pPr>
      <w:r>
        <w:rPr>
          <w:sz w:val="24"/>
          <w:szCs w:val="24"/>
        </w:rPr>
        <w:t>Руководителю МБ</w:t>
      </w:r>
      <w:r>
        <w:rPr>
          <w:sz w:val="24"/>
          <w:szCs w:val="24"/>
        </w:rPr>
        <w:t xml:space="preserve">ОУ ДО ДДТ Мясниковского района </w:t>
      </w: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</w:t>
      </w: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(Ф.И.О.)</w:t>
      </w: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 ________________________________________</w:t>
      </w: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(Ф.И.О. работника организации, должность, телефон)</w:t>
      </w: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08"/>
      <w:bookmarkEnd w:id="1"/>
      <w:r>
        <w:rPr>
          <w:rFonts w:cs="Times New Roman" w:ascii="Times New Roman" w:hAnsi="Times New Roman"/>
          <w:sz w:val="24"/>
          <w:szCs w:val="24"/>
        </w:rPr>
        <w:t>УВЕДОМЛЕНИЕ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 факте обращения в целях склонения работника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 совершению коррупционных правонарушений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Сообщаю, что:</w:t>
      </w:r>
    </w:p>
    <w:p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1)_________________________________________________________________;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(описание обстоятельств, при которых стало известно о случаях обращения к работнику в связи с исполнением им трудовых функций каких-либо лиц в целях склонения его к совершению коррупционных правонарушений)</w:t>
      </w:r>
    </w:p>
    <w:p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2)_________________________________________________________________;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(подробные сведения о коррупционных правонарушениях, которые должен был бы совершить работник по просьбе обратившихся лиц)</w:t>
      </w:r>
    </w:p>
    <w:p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3)_________________________________________________________________;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(все известные сведения о физическом лице, склоняющем к коррупционному правонарушению, юридическом лице, в интересах которого работнику предлагается совершить коррупционное правонарушение)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4)_________________________________________________________________.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(способ и обстоятельства склонения к коррупционному правонарушению, а также информация об отказе (согласии) работника принять предложение лица о совершении коррупционного правонарушения)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</w:t>
      </w:r>
    </w:p>
    <w:p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(подпись, инициалы и фамилия)</w:t>
      </w:r>
    </w:p>
    <w:p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</w:t>
      </w:r>
    </w:p>
    <w:p>
      <w:pPr>
        <w:pStyle w:val="ConsPlusNonformat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(дата)</w:t>
      </w:r>
    </w:p>
    <w:sectPr>
      <w:headerReference w:type="default" r:id="rId2"/>
      <w:type w:val="nextPage"/>
      <w:pgSz w:w="11906" w:h="16838"/>
      <w:pgMar w:left="1134" w:right="567" w:header="709" w:top="1134" w:footer="0" w:bottom="1134" w:gutter="0"/>
      <w:pgNumType w:fmt="decimal"/>
      <w:formProt w:val="false"/>
      <w:titlePg/>
      <w:textDirection w:val="lrTb"/>
      <w:docGrid w:type="default" w:linePitch="360" w:charSpace="429495910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8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17b33"/>
    <w:pPr>
      <w:widowControl/>
      <w:bidi w:val="0"/>
      <w:spacing w:before="0" w:after="0"/>
      <w:jc w:val="left"/>
    </w:pPr>
    <w:rPr>
      <w:rFonts w:ascii="Times New Roman" w:hAnsi="Times New Roman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uiPriority w:val="99"/>
    <w:qFormat/>
    <w:rsid w:val="003165fe"/>
    <w:rPr/>
  </w:style>
  <w:style w:type="character" w:styleId="Style15" w:customStyle="1">
    <w:name w:val="Нижний колонтитул Знак"/>
    <w:basedOn w:val="DefaultParagraphFont"/>
    <w:link w:val="a5"/>
    <w:uiPriority w:val="99"/>
    <w:qFormat/>
    <w:rsid w:val="003165fe"/>
    <w:rPr/>
  </w:style>
  <w:style w:type="character" w:styleId="Style16" w:customStyle="1">
    <w:name w:val="Текст сноски Знак"/>
    <w:basedOn w:val="DefaultParagraphFont"/>
    <w:link w:val="a7"/>
    <w:uiPriority w:val="99"/>
    <w:semiHidden/>
    <w:qFormat/>
    <w:rsid w:val="003165fe"/>
    <w:rPr>
      <w:sz w:val="20"/>
      <w:szCs w:val="20"/>
    </w:rPr>
  </w:style>
  <w:style w:type="character" w:styleId="Style17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3165fe"/>
    <w:rPr>
      <w:vertAlign w:val="superscript"/>
    </w:rPr>
  </w:style>
  <w:style w:type="character" w:styleId="Style18" w:customStyle="1">
    <w:name w:val="Текст выноски Знак"/>
    <w:basedOn w:val="DefaultParagraphFont"/>
    <w:link w:val="aa"/>
    <w:uiPriority w:val="99"/>
    <w:semiHidden/>
    <w:qFormat/>
    <w:rsid w:val="00df35f9"/>
    <w:rPr>
      <w:rFonts w:ascii="Tahoma" w:hAnsi="Tahoma" w:cs="Tahoma"/>
      <w:sz w:val="16"/>
      <w:szCs w:val="16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ConsPlusNormal" w:customStyle="1">
    <w:name w:val="ConsPlusNormal"/>
    <w:qFormat/>
    <w:rsid w:val="00030f0b"/>
    <w:pPr>
      <w:widowControl w:val="false"/>
      <w:bidi w:val="0"/>
      <w:spacing w:before="0" w:after="0"/>
      <w:jc w:val="left"/>
    </w:pPr>
    <w:rPr>
      <w:rFonts w:eastAsia="Times New Roman" w:cs="Times New Roman" w:ascii="Times New Roman" w:hAnsi="Times New Roman"/>
      <w:color w:val="auto"/>
      <w:kern w:val="0"/>
      <w:sz w:val="28"/>
      <w:szCs w:val="20"/>
      <w:lang w:eastAsia="ru-RU" w:val="ru-RU" w:bidi="ar-SA"/>
    </w:rPr>
  </w:style>
  <w:style w:type="paragraph" w:styleId="ConsPlusNonformat" w:customStyle="1">
    <w:name w:val="ConsPlusNonformat"/>
    <w:qFormat/>
    <w:rsid w:val="00030f0b"/>
    <w:pPr>
      <w:widowControl w:val="fals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eastAsia="ru-RU" w:val="ru-RU" w:bidi="ar-SA"/>
    </w:rPr>
  </w:style>
  <w:style w:type="paragraph" w:styleId="ConsPlusTitle" w:customStyle="1">
    <w:name w:val="ConsPlusTitle"/>
    <w:qFormat/>
    <w:rsid w:val="00030f0b"/>
    <w:pPr>
      <w:widowControl w:val="false"/>
      <w:bidi w:val="0"/>
      <w:spacing w:before="0" w:after="0"/>
      <w:jc w:val="left"/>
    </w:pPr>
    <w:rPr>
      <w:rFonts w:eastAsia="Times New Roman" w:cs="Times New Roman" w:ascii="Times New Roman" w:hAnsi="Times New Roman"/>
      <w:b/>
      <w:color w:val="auto"/>
      <w:kern w:val="0"/>
      <w:sz w:val="28"/>
      <w:szCs w:val="20"/>
      <w:lang w:eastAsia="ru-RU" w:val="ru-RU" w:bidi="ar-SA"/>
    </w:rPr>
  </w:style>
  <w:style w:type="paragraph" w:styleId="ConsPlusTitlePage" w:customStyle="1">
    <w:name w:val="ConsPlusTitlePage"/>
    <w:qFormat/>
    <w:rsid w:val="00030f0b"/>
    <w:pPr>
      <w:widowControl w:val="false"/>
      <w:bidi w:val="0"/>
      <w:spacing w:before="0" w:after="0"/>
      <w:jc w:val="left"/>
    </w:pPr>
    <w:rPr>
      <w:rFonts w:ascii="Tahoma" w:hAnsi="Tahoma" w:eastAsia="Times New Roman" w:cs="Tahoma"/>
      <w:color w:val="auto"/>
      <w:kern w:val="0"/>
      <w:sz w:val="20"/>
      <w:szCs w:val="20"/>
      <w:lang w:eastAsia="ru-RU" w:val="ru-RU" w:bidi="ar-SA"/>
    </w:rPr>
  </w:style>
  <w:style w:type="paragraph" w:styleId="Style24">
    <w:name w:val="Верхний и нижний колонтитулы"/>
    <w:basedOn w:val="Normal"/>
    <w:qFormat/>
    <w:pPr/>
    <w:rPr/>
  </w:style>
  <w:style w:type="paragraph" w:styleId="Style25">
    <w:name w:val="Header"/>
    <w:basedOn w:val="Normal"/>
    <w:link w:val="a4"/>
    <w:uiPriority w:val="99"/>
    <w:unhideWhenUsed/>
    <w:rsid w:val="003165f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a6"/>
    <w:uiPriority w:val="99"/>
    <w:unhideWhenUsed/>
    <w:rsid w:val="003165f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>
    <w:name w:val="Footnote Text"/>
    <w:basedOn w:val="Normal"/>
    <w:link w:val="a8"/>
    <w:uiPriority w:val="99"/>
    <w:semiHidden/>
    <w:unhideWhenUsed/>
    <w:rsid w:val="003165fe"/>
    <w:pPr/>
    <w:rPr>
      <w:sz w:val="20"/>
      <w:szCs w:val="20"/>
    </w:rPr>
  </w:style>
  <w:style w:type="paragraph" w:styleId="BalloonText">
    <w:name w:val="Balloon Text"/>
    <w:basedOn w:val="Normal"/>
    <w:link w:val="ab"/>
    <w:uiPriority w:val="99"/>
    <w:semiHidden/>
    <w:unhideWhenUsed/>
    <w:qFormat/>
    <w:rsid w:val="00df35f9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1B6ACC-6E4C-4DC1-A78D-9FD20B49D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LibreOffice/7.1.1.2$Windows_X86_64 LibreOffice_project/fe0b08f4af1bacafe4c7ecc87ce55bb426164676</Application>
  <AppVersion>15.0000</AppVersion>
  <Pages>4</Pages>
  <Words>1134</Words>
  <Characters>9531</Characters>
  <CharactersWithSpaces>10575</CharactersWithSpaces>
  <Paragraphs>98</Paragraphs>
  <Company>Krokoz™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2022-03-22T13:52:00Z</dcterms:created>
  <dc:creator>semenova_es</dc:creator>
  <dc:description/>
  <dc:language>ru-RU</dc:language>
  <cp:lastModifiedBy/>
  <cp:lastPrinted>2024-04-23T11:42:16Z</cp:lastPrinted>
  <dcterms:modified xsi:type="dcterms:W3CDTF">2024-04-23T11:43:04Z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